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2711" w:firstLineChars="900"/>
        <w:jc w:val="both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  <w:t>教师调停课操作手册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2711" w:firstLineChars="900"/>
        <w:jc w:val="both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en-US" w:eastAsia="zh-CN" w:bidi="ar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bookmarkStart w:id="0" w:name="OLE_LINK2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步：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进入调停课申请操作页面</w:t>
      </w:r>
    </w:p>
    <w:bookmarkEnd w:id="0"/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bookmarkStart w:id="1" w:name="OLE_LINK3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当在日常教学中，授课教师因公或因私需要进行调停课如需在“”教师端进行调课操作，如下图所示：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</w:pPr>
      <w:r>
        <w:drawing>
          <wp:inline distT="0" distB="0" distL="114300" distR="114300">
            <wp:extent cx="5267960" cy="523240"/>
            <wp:effectExtent l="0" t="0" r="5080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630" w:firstLineChars="300"/>
        <w:jc w:val="both"/>
        <w:rPr>
          <w:rFonts w:hint="eastAsia"/>
          <w:b/>
          <w:bCs/>
          <w:color w:val="FF0000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630" w:firstLineChars="300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注意：</w:t>
      </w:r>
      <w:r>
        <w:rPr>
          <w:rFonts w:hint="eastAsia"/>
          <w:lang w:val="en-US" w:eastAsia="zh-CN"/>
        </w:rPr>
        <w:t>需要调哪次课就点击哪次课程最后的调课申请</w:t>
      </w:r>
    </w:p>
    <w:p>
      <w:pP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drawing>
          <wp:inline distT="0" distB="0" distL="114300" distR="114300">
            <wp:extent cx="5264785" cy="401320"/>
            <wp:effectExtent l="0" t="0" r="8255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widowControl/>
        <w:adjustRightInd w:val="0"/>
        <w:snapToGrid w:val="0"/>
        <w:spacing w:line="360" w:lineRule="auto"/>
        <w:rPr>
          <w:rFonts w:hint="default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第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步：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进行调停课申请操作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点击上图中的【调课申请】按钮，进入调停课申请操作页面，在教师调课申请页面，选择调课方式、选择调课类型，不同的调课方式或调课类型，所展示的页面略微有点差别，视具体情况进行具体操作，如下图所示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</w:pPr>
      <w:r>
        <w:drawing>
          <wp:inline distT="0" distB="0" distL="114300" distR="114300">
            <wp:extent cx="4400550" cy="3565525"/>
            <wp:effectExtent l="0" t="0" r="3810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说明</w:t>
      </w:r>
      <w:r>
        <w:rPr>
          <w:rFonts w:hint="eastAsia" w:ascii="宋体" w:hAnsi="宋体" w:eastAsia="宋体" w:cs="宋体"/>
          <w:color w:val="FF0000"/>
          <w:lang w:val="en-US" w:eastAsia="zh-CN"/>
        </w:rPr>
        <w:t>：1、【保存】按钮和【保存并送审】按钮功能存在区别，当点击【保存】按钮后，则后续还需要进行送审操作，而点击【保存并送审】，会弹窗送审勾选审核人页面，后续不需要再次进行送审操作；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30" w:firstLineChars="300"/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color w:val="FF0000"/>
          <w:lang w:val="en-US" w:eastAsia="zh-CN"/>
        </w:rPr>
        <w:t>调课方式目前系统中设有多种，请根据调课实际情况进行选择；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3、调课类型目前系统中设有四种：整体调课、部分调课、停课、变更教师。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整体调课：用于将该老师该条教学任务进行整体调整；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部分调课：用于调整某周某节课进行调整；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停课：用于该课程在某周进行停课，后续可在系统中进行补课操作；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变更教师：则是调整该条任务某周的授课教师（需要确定第几周的课程变更，系统默认上课时间地点不变）。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300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00206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2060"/>
          <w:sz w:val="30"/>
          <w:szCs w:val="30"/>
          <w:lang w:val="en-US" w:eastAsia="zh-CN"/>
        </w:rPr>
        <w:t>附：变更主讲及调整上课具体时间详细操作流程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1.变更教师：如只是某周次或某几周变更主讲（上课时间地点不变）可参考以下示例操作：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如是更换主讲（调课方式选择更换主讲，调课类型选择变更教师）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rPr>
          <w:rFonts w:hint="default" w:ascii="宋体" w:hAnsi="宋体" w:eastAsia="宋体" w:cs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如是增加主讲（调课方式选择增加主讲，调课类型选择变更教师）</w:t>
      </w:r>
    </w:p>
    <w:p>
      <w:r>
        <w:drawing>
          <wp:inline distT="0" distB="0" distL="114300" distR="114300">
            <wp:extent cx="5268595" cy="2923540"/>
            <wp:effectExtent l="0" t="0" r="4445" b="254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685540"/>
            <wp:effectExtent l="0" t="0" r="3810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r>
        <w:drawing>
          <wp:inline distT="0" distB="0" distL="114300" distR="114300">
            <wp:extent cx="5273040" cy="3904615"/>
            <wp:effectExtent l="0" t="0" r="0" b="1206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2964815" cy="3497580"/>
            <wp:effectExtent l="0" t="0" r="6985" b="762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调课原因可进一步说明后，点击“保存并送审”后选择下一步的审核人</w:t>
      </w:r>
    </w:p>
    <w:p>
      <w:r>
        <w:drawing>
          <wp:inline distT="0" distB="0" distL="114300" distR="114300">
            <wp:extent cx="5272405" cy="4807585"/>
            <wp:effectExtent l="0" t="0" r="635" b="825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80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>
      <w:pPr>
        <w:numPr>
          <w:ilvl w:val="0"/>
          <w:numId w:val="2"/>
        </w:numPr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调整上课具体周次时间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根据原上课具体时间选择点击调课申请</w:t>
      </w:r>
    </w:p>
    <w:p>
      <w:pPr>
        <w:numPr>
          <w:ilvl w:val="0"/>
          <w:numId w:val="0"/>
        </w:numPr>
        <w:rPr>
          <w:rFonts w:hint="default"/>
          <w:b/>
          <w:bCs/>
          <w:color w:val="FF0000"/>
          <w:lang w:val="en-US" w:eastAsia="zh-CN"/>
        </w:rPr>
      </w:pPr>
      <w:r>
        <w:drawing>
          <wp:inline distT="0" distB="0" distL="114300" distR="114300">
            <wp:extent cx="5263515" cy="1198880"/>
            <wp:effectExtent l="0" t="0" r="9525" b="508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4138930"/>
            <wp:effectExtent l="0" t="0" r="2540" b="635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4054475"/>
            <wp:effectExtent l="0" t="0" r="635" b="1460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719705"/>
            <wp:effectExtent l="0" t="0" r="3810" b="825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调课原因可进一步说明后，点击“保存并送审”后选择下一步的审核人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5343525"/>
            <wp:effectExtent l="0" t="0" r="2540" b="571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2" w:name="_GoBack"/>
    <w:bookmarkEnd w:id="2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Ii43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h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ZQiLj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B6EED"/>
    <w:multiLevelType w:val="singleLevel"/>
    <w:tmpl w:val="E03B6E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EDB2B368"/>
    <w:multiLevelType w:val="singleLevel"/>
    <w:tmpl w:val="EDB2B36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NTQ4MjQ3YTYyMmJhMmZhZjg1MDQxYWUyMmIxNTYifQ=="/>
  </w:docVars>
  <w:rsids>
    <w:rsidRoot w:val="1C1E6BC3"/>
    <w:rsid w:val="018209EC"/>
    <w:rsid w:val="1C1E6BC3"/>
    <w:rsid w:val="24400D4A"/>
    <w:rsid w:val="51985CB7"/>
    <w:rsid w:val="65380288"/>
    <w:rsid w:val="66D0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2023-10-12T04:28:00Z</dcterms:created>
  <dc:creator>德系拥趸</dc:creator>
  <cp:lastModifiedBy>德系拥趸</cp:lastModifiedBy>
  <dcterms:modified xsi:type="dcterms:W3CDTF">2023-10-19T02:50:52Z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BC9E6FEE49C54888B414437752B2F75D_11</vt:lpwstr>
  </property>
</Properties>
</file>